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61A74" w14:textId="4AFE1549" w:rsidR="00893D2B" w:rsidRDefault="00893D2B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  <w:r w:rsidRPr="00DD7BD6">
        <w:rPr>
          <w:rFonts w:ascii="Sylfaen" w:eastAsia="Times New Roman" w:hAnsi="Sylfaen" w:cs="Sylfaen"/>
          <w:lang w:val="ka-GE"/>
        </w:rPr>
        <w:t xml:space="preserve">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შეხვედრის </w:t>
      </w:r>
      <w:r w:rsidR="004C1720">
        <w:rPr>
          <w:rFonts w:ascii="Sylfaen" w:eastAsia="Times New Roman" w:hAnsi="Sylfaen" w:cs="Sylfaen"/>
          <w:b/>
          <w:lang w:val="ka-GE"/>
        </w:rPr>
        <w:t>ოქმი N4</w:t>
      </w:r>
    </w:p>
    <w:p w14:paraId="1B11A6F0" w14:textId="77777777" w:rsidR="00893D2B" w:rsidRDefault="00893D2B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</w:p>
    <w:p w14:paraId="0F3E1404" w14:textId="3AF0C548" w:rsidR="00893D2B" w:rsidRPr="00DD7BD6" w:rsidRDefault="00A61F63" w:rsidP="00893D2B">
      <w:pPr>
        <w:spacing w:after="0"/>
        <w:jc w:val="center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24</w:t>
      </w:r>
      <w:r w:rsidR="004C1720">
        <w:rPr>
          <w:rFonts w:ascii="Sylfaen" w:eastAsia="Times New Roman" w:hAnsi="Sylfaen" w:cs="Sylfaen"/>
        </w:rPr>
        <w:t>.</w:t>
      </w:r>
      <w:r w:rsidR="00893D2B">
        <w:rPr>
          <w:rFonts w:ascii="Sylfaen" w:eastAsia="Times New Roman" w:hAnsi="Sylfaen" w:cs="Sylfaen"/>
          <w:lang w:val="ka-GE"/>
        </w:rPr>
        <w:t>10.2018წ</w:t>
      </w:r>
    </w:p>
    <w:p w14:paraId="5B929439" w14:textId="77777777" w:rsidR="00893D2B" w:rsidRPr="00DD7BD6" w:rsidRDefault="00893D2B" w:rsidP="00893D2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14:paraId="1907D4A1" w14:textId="77777777" w:rsidR="00A61F63" w:rsidRDefault="00893D2B" w:rsidP="004C1720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773448">
        <w:rPr>
          <w:rFonts w:ascii="Sylfaen" w:eastAsia="Times New Roman" w:hAnsi="Sylfaen" w:cs="Sylfaen"/>
          <w:lang w:val="ka-GE"/>
        </w:rPr>
        <w:t xml:space="preserve">ქრონიკული დავადებების სამკურნალო მედიკამენტებით უზრუნველყოფის სახელმწიფო პროგრამის </w:t>
      </w:r>
      <w:r w:rsidR="00A61F63">
        <w:rPr>
          <w:rFonts w:ascii="Sylfaen" w:eastAsia="Times New Roman" w:hAnsi="Sylfaen" w:cs="Sylfaen"/>
          <w:lang w:val="ka-GE"/>
        </w:rPr>
        <w:t>გაუმჯობესების</w:t>
      </w:r>
      <w:r w:rsidRPr="00773448">
        <w:rPr>
          <w:rFonts w:ascii="Sylfaen" w:eastAsia="Times New Roman" w:hAnsi="Sylfaen" w:cs="Sylfaen"/>
          <w:lang w:val="ka-GE"/>
        </w:rPr>
        <w:t xml:space="preserve"> მიზნით</w:t>
      </w:r>
      <w:r w:rsidRPr="00773448">
        <w:rPr>
          <w:rFonts w:ascii="Sylfaen" w:hAnsi="Sylfaen" w:cs="Sylfaen"/>
          <w:lang w:val="ka-GE"/>
        </w:rPr>
        <w:t>,</w:t>
      </w:r>
      <w:r w:rsidRPr="00773448">
        <w:rPr>
          <w:rFonts w:ascii="Sylfaen" w:eastAsia="Times New Roman" w:hAnsi="Sylfaen" w:cs="Sylfaen"/>
          <w:lang w:val="ka-GE"/>
        </w:rPr>
        <w:t xml:space="preserve"> მინისტრის ხელმძღვანელობით </w:t>
      </w:r>
      <w:r w:rsidR="00A61F63">
        <w:rPr>
          <w:rFonts w:ascii="Sylfaen" w:eastAsia="Times New Roman" w:hAnsi="Sylfaen" w:cs="Sylfaen"/>
          <w:lang w:val="ka-GE"/>
        </w:rPr>
        <w:t>გაიმართა შეხვედრა სამუშაო ჯგუფის ფორმატში</w:t>
      </w:r>
      <w:r w:rsidRPr="00773448">
        <w:rPr>
          <w:rFonts w:ascii="Sylfaen" w:eastAsia="Times New Roman" w:hAnsi="Sylfaen" w:cs="Sylfaen"/>
          <w:lang w:val="ka-GE"/>
        </w:rPr>
        <w:t>, რომელშიც მონაწილეობ</w:t>
      </w:r>
      <w:r w:rsidR="00A61F63">
        <w:rPr>
          <w:rFonts w:ascii="Sylfaen" w:eastAsia="Times New Roman" w:hAnsi="Sylfaen" w:cs="Sylfaen"/>
          <w:lang w:val="ka-GE"/>
        </w:rPr>
        <w:t>დნ</w:t>
      </w:r>
      <w:r w:rsidRPr="00773448">
        <w:rPr>
          <w:rFonts w:ascii="Sylfaen" w:eastAsia="Times New Roman" w:hAnsi="Sylfaen" w:cs="Sylfaen"/>
          <w:lang w:val="ka-GE"/>
        </w:rPr>
        <w:t>ენ მინისტრის მოადგილე მაია ლაგვილავა</w:t>
      </w:r>
      <w:r w:rsidR="00A61F63">
        <w:rPr>
          <w:rFonts w:ascii="Sylfaen" w:eastAsia="Times New Roman" w:hAnsi="Sylfaen" w:cs="Sylfaen"/>
          <w:lang w:val="ka-GE"/>
        </w:rPr>
        <w:t>,</w:t>
      </w:r>
      <w:r w:rsidRPr="00773448">
        <w:rPr>
          <w:rFonts w:ascii="Sylfaen" w:eastAsia="Times New Roman" w:hAnsi="Sylfaen" w:cs="Sylfaen"/>
          <w:lang w:val="ka-GE"/>
        </w:rPr>
        <w:t xml:space="preserve"> მინისტრის მრჩევლები (მამუკა სონღულაშვილი, ლაშა ნიკოლაძე), სა</w:t>
      </w:r>
      <w:r w:rsidR="00A61F63">
        <w:rPr>
          <w:rFonts w:ascii="Sylfaen" w:eastAsia="Times New Roman" w:hAnsi="Sylfaen" w:cs="Sylfaen"/>
          <w:lang w:val="ka-GE"/>
        </w:rPr>
        <w:t>მინისტროს ჯანმრთელობის დაცვის (</w:t>
      </w:r>
      <w:r w:rsidRPr="00773448">
        <w:rPr>
          <w:rFonts w:ascii="Sylfaen" w:eastAsia="Times New Roman" w:hAnsi="Sylfaen" w:cs="Sylfaen"/>
          <w:lang w:val="ka-GE"/>
        </w:rPr>
        <w:t>ეკატერინე ადამია), შიდა აუდიტის (კახაბერ ძიმისტარიშვილი, ეკა შარაძე) და ეკონომიკური დეპარტამენტების (ნოე ქინქლაძე),  სსიპ სოციალური მომსახურების სააგენტოს (თამაზ მოდებაძე, თენგიზ აბაზაძე, ბესიკ დათუკიშვილი, ირ</w:t>
      </w:r>
      <w:r w:rsidR="00A61F63">
        <w:rPr>
          <w:rFonts w:ascii="Sylfaen" w:eastAsia="Times New Roman" w:hAnsi="Sylfaen" w:cs="Sylfaen"/>
          <w:lang w:val="ka-GE"/>
        </w:rPr>
        <w:t>ინა გობეჯიშვილი) თანამშრომლები.</w:t>
      </w:r>
    </w:p>
    <w:p w14:paraId="08D8D88E" w14:textId="77777777" w:rsidR="00A61F63" w:rsidRDefault="00A61F63" w:rsidP="004C1720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14:paraId="214D4672" w14:textId="0539D337" w:rsidR="00893D2B" w:rsidRPr="004C1720" w:rsidRDefault="00A61F63" w:rsidP="004C1720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შეხვედრაზე განხილულ იქნა პროგრამის ფარგლებში</w:t>
      </w:r>
      <w:r w:rsidR="004D4EF3">
        <w:rPr>
          <w:rFonts w:ascii="Sylfaen" w:eastAsia="Times New Roman" w:hAnsi="Sylfaen" w:cs="Sylfaen"/>
          <w:lang w:val="ka-GE"/>
        </w:rPr>
        <w:t xml:space="preserve"> მიმდინარე სიახლეები, ბაზრის კვლევების შედეგები, მიმდინარე ტენდერების შესახებ ინფორმაცია. </w:t>
      </w:r>
      <w:r>
        <w:rPr>
          <w:rFonts w:ascii="Sylfaen" w:eastAsia="Times New Roman" w:hAnsi="Sylfaen" w:cs="Sylfaen"/>
          <w:lang w:val="ka-GE"/>
        </w:rPr>
        <w:t xml:space="preserve"> </w:t>
      </w:r>
      <w:r w:rsidR="00893D2B" w:rsidRPr="00773448">
        <w:rPr>
          <w:rFonts w:ascii="Sylfaen" w:eastAsia="Times New Roman" w:hAnsi="Sylfaen" w:cs="Sylfaen"/>
          <w:lang w:val="ka-GE"/>
        </w:rPr>
        <w:t xml:space="preserve"> </w:t>
      </w:r>
      <w:r w:rsidR="0036176A">
        <w:rPr>
          <w:rFonts w:ascii="Sylfaen" w:eastAsia="Times New Roman" w:hAnsi="Sylfaen" w:cs="Sylfaen"/>
          <w:lang w:val="ka-GE"/>
        </w:rPr>
        <w:t>დღევანდელი მდგომარეობით, პროგრამით გათვალისწინებული მედიკამენტებთან მიმართებით გვაქვს შემდეგი სურათი:</w:t>
      </w:r>
    </w:p>
    <w:p w14:paraId="2C9440EF" w14:textId="77777777" w:rsidR="00893D2B" w:rsidRDefault="00893D2B" w:rsidP="00893D2B">
      <w:pPr>
        <w:spacing w:line="240" w:lineRule="auto"/>
        <w:jc w:val="both"/>
        <w:rPr>
          <w:rFonts w:ascii="Sylfaen" w:hAnsi="Sylfaen" w:cs="Sylfaen"/>
        </w:rPr>
      </w:pPr>
    </w:p>
    <w:tbl>
      <w:tblPr>
        <w:tblW w:w="14540" w:type="dxa"/>
        <w:tblInd w:w="-10" w:type="dxa"/>
        <w:tblLook w:val="04A0" w:firstRow="1" w:lastRow="0" w:firstColumn="1" w:lastColumn="0" w:noHBand="0" w:noVBand="1"/>
      </w:tblPr>
      <w:tblGrid>
        <w:gridCol w:w="580"/>
        <w:gridCol w:w="3566"/>
        <w:gridCol w:w="2120"/>
        <w:gridCol w:w="1660"/>
        <w:gridCol w:w="4954"/>
        <w:gridCol w:w="1660"/>
      </w:tblGrid>
      <w:tr w:rsidR="004D4EF3" w:rsidRPr="004D4EF3" w14:paraId="507359B9" w14:textId="77777777" w:rsidTr="004D4EF3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9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5C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B5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დოზირება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7B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სტატუსი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7D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შენიშვნა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58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შენიშვა</w:t>
            </w:r>
          </w:p>
        </w:tc>
      </w:tr>
      <w:tr w:rsidR="004D4EF3" w:rsidRPr="004D4EF3" w14:paraId="1055DBD7" w14:textId="77777777" w:rsidTr="004D4EF3">
        <w:trPr>
          <w:trHeight w:val="5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1D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0C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457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2D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A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9 თვის მარაგი (ვადით 2020 წლამდე), დამატებითი შესყიდვის საჭიროება მიზანშეწონილია განხილულ იქნას კომბინირებული პრეპარატების ამუშავების შემდგომ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37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5A30962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86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31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FB5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8F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0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20 თვის მარაგი (ვადით 2020 წლამდე), დამატებითი შესყიდვის საჭიროება მიზანშეწონილია განხილულ იქნას კომბინირებული პრეპარატების ამუშავების შემდგომ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E0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4AF2B18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43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83F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ლოსარტანი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AD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4D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CC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96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905CB7B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FA7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147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ამლოდიპინი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82D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C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6C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20 თვის მარაგი (ვადით 2020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058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1A8E3C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E8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E76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 xml:space="preserve">მეტოპროლოლი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CC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1C7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4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152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4D4EF3" w:rsidRPr="004D4EF3" w14:paraId="2467B843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D70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45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ამიოდარონი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C0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0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02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31 თვის მარაგი ( ვადით 2020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04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EF80F41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B9B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6A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იზოსორბიდის მონონიტრატი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9C9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1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F1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13 თვის მარაგი ( ვადით 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53A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A145A22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10A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B1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ვარფარინი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AE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0B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70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44 თვის მარაგი ( ვადით 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83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5206C7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B95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90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კლოპიდოგრელი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98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11B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F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A61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FB4F81F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AAA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26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დიგოქსინი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E0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4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50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093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429BFFC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3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A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ფუროსემიდი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B2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43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9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53 თვის მარაგი (ვადით 2020-2022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E9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EF747D6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43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D84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სპირონოლაქტონი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A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94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1C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19 თვის მარაგი (ვადით 2021-2022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BFD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7BD3971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C7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6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A4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22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B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16C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AED7397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6E8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00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მეტფორმინი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ED4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77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B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"ავერსი-ფარმამ"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5D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B8F7DEF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7A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C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გლიკლაზიდი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E4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98E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39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795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030F904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B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FC7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გლიმეპირიდი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0F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BE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17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60F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0AB9CC5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B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63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თიამაზოლი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51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B7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1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324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6087A28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F6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A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ლევოთიროქსინი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82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50მკგ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FB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74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B67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7663AA67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28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9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ბუდესონიდი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B3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0,5მგ/2მლ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6F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7E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ხარჯვის მცირე მაჩვენებლის გამო, დაახლოებით 4000 ცალი დგას ვადის გასვლის საშიშროების წინაშე (2018 წლის დეკემბრის ბოლოს, 2019 წლის იანვრის ბოლოს) მიმდინარეობს განხილვები ექსპერტებთან  ბუდესონიდის შესაძლო ჩანაცვლებასთან (?) დაკავშირებით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D6B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FCBC838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2AA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E9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ალბუტეროლი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D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2,5მგ/0,5მლ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1CA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2D9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ხარჯვის მცირე მაჩვენებლის (თვეში საშუალოდ 90) გამო, დაახლოებით 19 000 ცალი დგას ვადის გასვლის საშიშროების წინაშე (2019 წლის იანვრის ბოლოს) მიმდინარეობს განხილვები ექსპერტებთან  ალბუტეროლის შესაძლო ჩანაცვლებასთან (?) დაკავშირებით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09A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C0D8015" w14:textId="77777777" w:rsidTr="004D4EF3">
        <w:trPr>
          <w:trHeight w:val="9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FEE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00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სალმეტეროლი/ფლუტიკაზონი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AA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50მკგ/250მკგ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F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DE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გაგზავნილია მთავრობის ადმინისტრაციაში - 09.10.18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8F93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აღნიშნულ საკითხთან დაკავშირებიული ინფორმაცია წარმოდგენილი იქნება დამატებით</w:t>
            </w:r>
          </w:p>
        </w:tc>
      </w:tr>
      <w:tr w:rsidR="004D4EF3" w:rsidRPr="004D4EF3" w14:paraId="432D73DC" w14:textId="77777777" w:rsidTr="004D4EF3">
        <w:trPr>
          <w:trHeight w:val="15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C0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63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სალბუტამოლი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31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100 მკგ/დოზა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0F9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4B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სექტემბრის ხარჯვის გათვალისწინებით გვაქვს დაახლოებით 12 თვის მარაგი (ვადით 2019 წლის აპრილი-მაისი), გასათვალისწინებელია, რომ თუ ხარჯვის მაჩვენებელი (შესაძლოა ალბუტეროლი ჩანაცვლდეს სალბუტამოლით) არ გაიზრდება წლის ბოლოსთვის, დადგება დამატებითი შესყიდვის საჭიროება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116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533A148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97C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4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აკლიდინიუმის ბრომიდი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46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322 მკგ/დოზა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C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B1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შედგა, გამოცხადდა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2FB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</w:tr>
      <w:tr w:rsidR="004D4EF3" w:rsidRPr="004D4EF3" w14:paraId="6DF1B3D5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A6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3B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მეთილპრედნიზოლონი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51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16 მგ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86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F4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სექტემბრის ხარჯვის გათვალისწინებით გვაქვს დაახლოებით 26 თვის მარაგი (ვადით 2021-2022 წლამდე), შესყიდვის საჭიროება არ დგას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2F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2818222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95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B8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5F8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7FE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42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4A4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360DA91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6A062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79E72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პერინდოპრილ/ამლოდიპინი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A64BE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4მგ/5მგ ან 5მგ/5მგ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BA398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3EBA4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7C15E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DB86D25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ADC77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CAE5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პერინდოპრილ/ამლოდიპინი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E43F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8მგ/10მგ ან 10მგ/10მგ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554E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BD6C4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EF12F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8274D4F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3FFA3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6FA8D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პერინდოპრილ/ინდაპამიდი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AC055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4მგ/1.25მგ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54880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F471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ფარმას" მიერ წარმოდგენილი დაზუსტებული დოკუმენტი არ შეესაბამება სატენდერო პირობებს. ტენდერი დასრულდა უარყოფითი შედეგით, ცხადდება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B537B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722AAA6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CDA3C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108EC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ლოსარტან+ჰიდროქლოროთიაზიდი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41B2A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50მგ/12.5მგ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6F3BA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5176F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ფარმა" მოწვეულია ხელშეკრულების გასაფორმებლად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14D221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6DD43636" w14:textId="77777777" w:rsidTr="004D4EF3">
        <w:trPr>
          <w:trHeight w:val="1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F95C4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56C01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ბისოპროლოლი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138B6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D76A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10001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ფარმას" მიერ წარმოდგენილი დაზუსტებული დოკუმენტი არ შეესაბამება სატენდერო პირობებს. მეორე პრეტენდენტის - სს "გეფას" ტექნიკური დოკუმენტაცია განხილვის პროცესშია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DFFC0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7A0D69E7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30B32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548FB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ნებივოლოლი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19549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CE06C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E610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შპს "პსპ ფარმა" მოწვეულია ხელშეკრულების გასაფორმებლად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410F82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D9FAED7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A4AC6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77551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ჰიდროქლორთიაზიდი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094E6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1235A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A095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შედგა. გაგზავნილია სათანადო წერილი სსიპ სახელმწიფო შესყიდვების სააგენტოში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847C4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386247D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2A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27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9F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E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C3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088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635E006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14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601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აცეტილსალიცილის მჟავა+მაგნიუმის ჰიდროქსიდი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2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0F8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06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9C3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63F752B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166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20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აცეტილსალიცილის მჟავა+მაგნიუმის ჰიდროქსიდი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6FC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9D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66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3B7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2DBBA15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A2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C1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463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F86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F0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2114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9289FA1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8BD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3F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ატორვასტატინი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4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AB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94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238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B3E4DCA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C16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A3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კარბიდოპა, ლევოდოპა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DE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250მგ/25მგ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93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1A3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08B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0712BB95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1B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F5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ლევოდოპა+ბენსერაზიდი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8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100მგ/25მგ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749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3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6F4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BA8794E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ECD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BAC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ლევეტირაცეტამი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5C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6A4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24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1CA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A83DE28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D1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22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კარბამაზეპინი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F0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5E9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D8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შპს "პსპ ფარმამ"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C15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558EF800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86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2D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ნატრიუმის ვალპროატი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5C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E6A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ED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7C2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2FAD3421" w14:textId="77777777" w:rsidTr="004D4EF3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CD004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915DD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ნატრიუმის ვალპროატი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C8FE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DB63E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959E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ტენდერი არ შედგა. გამოხცადებულია ბაზრის ხელახალი კვლევა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0EC2DFD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45324952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9B26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D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ლამოტრიჯინი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481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2C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4E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სატენდერო წინადადებების გახსნის თარიღი - 05.11.18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4A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30C05590" w14:textId="77777777" w:rsidTr="004D4EF3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70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88E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ლამოტრიჯინი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9BF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25მგ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F1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D8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მინიმალური ფასი დააფიქსირა სს "გეფამ"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C2EA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4D4EF3" w:rsidRPr="004D4EF3" w14:paraId="15DF5DA3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44E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E8F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279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320მკგ/9მკგ/დოზა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395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CF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11213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აღნიშნულ საკითხთან დაკავშირებიული ინფორმაცია წარმოდგენილი იქნება დამატებით</w:t>
            </w:r>
          </w:p>
        </w:tc>
      </w:tr>
      <w:tr w:rsidR="004D4EF3" w:rsidRPr="004D4EF3" w14:paraId="075624C0" w14:textId="77777777" w:rsidTr="004D4EF3">
        <w:trPr>
          <w:trHeight w:val="9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FE1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D9CB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81C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160მკგ/4,5მკგ/დოზა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4B4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370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8CA50" w14:textId="77777777" w:rsidR="004D4EF3" w:rsidRPr="004D4EF3" w:rsidRDefault="004D4EF3" w:rsidP="004D4E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4D4EF3" w:rsidRPr="004D4EF3" w14:paraId="22996D0B" w14:textId="77777777" w:rsidTr="004D4EF3">
        <w:trPr>
          <w:trHeight w:val="9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A6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0A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333333"/>
                <w:sz w:val="16"/>
                <w:szCs w:val="16"/>
              </w:rPr>
              <w:t>Budesonide, Formoterol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992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80მკგ/4,5მკგ/დოზა 60 დოზა დოზირებული საინჰალაციო ფხვნილი ინჰალატორი №1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6608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907" w14:textId="77777777" w:rsidR="004D4EF3" w:rsidRPr="004D4EF3" w:rsidRDefault="004D4EF3" w:rsidP="004D4E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D4EF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დასრულდა ბაზრის კვლევა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5D41" w14:textId="77777777" w:rsidR="004D4EF3" w:rsidRPr="004D4EF3" w:rsidRDefault="004D4EF3" w:rsidP="004D4E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</w:tbl>
    <w:p w14:paraId="5FD7BBA6" w14:textId="166895C3" w:rsidR="0049547B" w:rsidRDefault="0049547B" w:rsidP="00073B8D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B5EA87A" w14:textId="77777777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ინფორმაციით, </w:t>
      </w:r>
      <w:r>
        <w:rPr>
          <w:rFonts w:ascii="Sylfaen" w:hAnsi="Sylfaen"/>
        </w:rPr>
        <w:t xml:space="preserve">2018 </w:t>
      </w:r>
      <w:r>
        <w:rPr>
          <w:rFonts w:ascii="Sylfaen" w:hAnsi="Sylfaen"/>
          <w:lang w:val="ka-GE"/>
        </w:rPr>
        <w:t xml:space="preserve">წლის საბიუჯეტო ასიგნებათა ფარგლებში გამოცხადებული/გამოსაცხადებელი ყველა ელექტრონული ტენდერის დადებითი შედეგით დასრულების შემთხვევაში, პროგრამის ფარგლებში გასაწევი მაქსიმალური ხარჯი იქნება </w:t>
      </w:r>
      <w:r w:rsidRPr="00CC795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</w:t>
      </w:r>
      <w:r w:rsidRPr="00CC795A">
        <w:rPr>
          <w:rFonts w:ascii="Sylfaen" w:hAnsi="Sylfaen"/>
          <w:lang w:val="ka-GE"/>
        </w:rPr>
        <w:t>577</w:t>
      </w:r>
      <w:r>
        <w:rPr>
          <w:rFonts w:ascii="Sylfaen" w:hAnsi="Sylfaen"/>
          <w:lang w:val="ka-GE"/>
        </w:rPr>
        <w:t xml:space="preserve"> </w:t>
      </w:r>
      <w:r w:rsidRPr="00CC795A">
        <w:rPr>
          <w:rFonts w:ascii="Sylfaen" w:hAnsi="Sylfaen"/>
          <w:lang w:val="ka-GE"/>
        </w:rPr>
        <w:t>346</w:t>
      </w:r>
      <w:r>
        <w:rPr>
          <w:rFonts w:ascii="Sylfaen" w:hAnsi="Sylfaen"/>
          <w:lang w:val="ka-GE"/>
        </w:rPr>
        <w:t xml:space="preserve"> ლარი.</w:t>
      </w:r>
    </w:p>
    <w:p w14:paraId="1125DECB" w14:textId="70F3FDDB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6F2EB112" w14:textId="77777777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7B84A5E" w14:textId="77777777" w:rsidR="00986FD5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შეხვედრაზე მიღებულ იქნა გადაწყვეტილება პროგრამის ფარგლებში შესასყიდი მედიკამენტების რაოდენობის ზრდასთან დაკავშირებით. კერძოდ, ახალ პოზიციებზე, მათ შორის გულ-სისხლძარღვთა მიმართულებით</w:t>
      </w:r>
      <w:r w:rsidR="00986FD5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3 მონო და 3 კომბინირებული </w:t>
      </w:r>
      <w:r w:rsidR="00986FD5">
        <w:rPr>
          <w:rFonts w:ascii="Sylfaen" w:hAnsi="Sylfaen"/>
          <w:lang w:val="ka-GE"/>
        </w:rPr>
        <w:lastRenderedPageBreak/>
        <w:t xml:space="preserve">პრეპარატის, ასევე </w:t>
      </w:r>
      <w:r w:rsidR="00986FD5" w:rsidRPr="004D4EF3">
        <w:rPr>
          <w:rFonts w:ascii="Sylfaen" w:hAnsi="Sylfaen"/>
          <w:lang w:val="ka-GE"/>
        </w:rPr>
        <w:t>აცეტილსალიცილის მჟავა+მაგნიუმის ჰიდროქსიდი</w:t>
      </w:r>
      <w:r w:rsidR="00986FD5">
        <w:rPr>
          <w:rFonts w:ascii="Sylfaen" w:hAnsi="Sylfaen"/>
          <w:lang w:val="ka-GE"/>
        </w:rPr>
        <w:t>ს  შესყიდვა) და ნევროლოგიური მიმართულებით  შესასყიდი მედიკამენტების რაოდენობა განისაზღვროს წლიური რეალიზაციის 45%-ით (დაგეგმილი 30%-ის ნაცვლად).</w:t>
      </w:r>
    </w:p>
    <w:p w14:paraId="07C3E8D8" w14:textId="77777777" w:rsidR="00986FD5" w:rsidRDefault="00986FD5" w:rsidP="0030446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D4BE5BD" w14:textId="2CD8E473" w:rsidR="0030446E" w:rsidRDefault="0030446E" w:rsidP="0030446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Pr="004D2E9F">
        <w:rPr>
          <w:rFonts w:ascii="Sylfaen" w:hAnsi="Sylfaen"/>
          <w:lang w:val="ka-GE"/>
        </w:rPr>
        <w:t>ფარმაცევტული პროდუქტის შესყიდვის მოცულობ</w:t>
      </w:r>
      <w:r>
        <w:rPr>
          <w:rFonts w:ascii="Sylfaen" w:hAnsi="Sylfaen"/>
          <w:lang w:val="ka-GE"/>
        </w:rPr>
        <w:t>ა</w:t>
      </w:r>
      <w:r w:rsidRPr="004D2E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(გარდა 23 მედიკამენტისა), გაიზრდება</w:t>
      </w:r>
      <w:r w:rsidRPr="004D2E9F">
        <w:rPr>
          <w:rFonts w:ascii="Sylfaen" w:hAnsi="Sylfaen"/>
          <w:lang w:val="ka-GE"/>
        </w:rPr>
        <w:t xml:space="preserve"> 30%</w:t>
      </w:r>
      <w:r>
        <w:rPr>
          <w:rFonts w:ascii="Sylfaen" w:hAnsi="Sylfaen"/>
          <w:lang w:val="ka-GE"/>
        </w:rPr>
        <w:t xml:space="preserve">-დან </w:t>
      </w:r>
      <w:r w:rsidRPr="004D2E9F">
        <w:rPr>
          <w:rFonts w:ascii="Sylfaen" w:hAnsi="Sylfaen"/>
          <w:lang w:val="ka-GE"/>
        </w:rPr>
        <w:t>45%</w:t>
      </w:r>
      <w:r>
        <w:rPr>
          <w:rFonts w:ascii="Sylfaen" w:hAnsi="Sylfaen"/>
          <w:lang w:val="ka-GE"/>
        </w:rPr>
        <w:t xml:space="preserve">-მდე, პროგრამის ფარგლებში გასაწევი ხარჯი იქნება </w:t>
      </w:r>
      <w:r>
        <w:rPr>
          <w:rFonts w:ascii="Sylfaen" w:hAnsi="Sylfaen"/>
        </w:rPr>
        <w:t xml:space="preserve"> </w:t>
      </w:r>
      <w:r w:rsidR="00A104C1" w:rsidRPr="005B6471">
        <w:rPr>
          <w:rFonts w:ascii="Sylfaen" w:hAnsi="Sylfaen"/>
          <w:b/>
          <w:i/>
          <w:lang w:val="ka-GE"/>
        </w:rPr>
        <w:t xml:space="preserve">2 302 032 </w:t>
      </w:r>
      <w:r>
        <w:rPr>
          <w:rFonts w:ascii="Sylfaen" w:hAnsi="Sylfaen"/>
          <w:lang w:val="ka-GE"/>
        </w:rPr>
        <w:t>ლარი:</w:t>
      </w:r>
    </w:p>
    <w:p w14:paraId="13B97A93" w14:textId="1BFE561C" w:rsidR="0030446E" w:rsidRPr="005B6471" w:rsidRDefault="0030446E" w:rsidP="0030446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>561</w:t>
      </w:r>
      <w:r>
        <w:rPr>
          <w:rFonts w:ascii="Sylfaen" w:hAnsi="Sylfaen"/>
        </w:rPr>
        <w:t xml:space="preserve"> </w:t>
      </w:r>
      <w:r w:rsidRPr="005B6471">
        <w:rPr>
          <w:rFonts w:ascii="Sylfaen" w:hAnsi="Sylfaen"/>
          <w:lang w:val="ka-GE"/>
        </w:rPr>
        <w:t xml:space="preserve">339.5 </w:t>
      </w:r>
      <w:r w:rsidR="00986FD5">
        <w:rPr>
          <w:rFonts w:ascii="Sylfaen" w:hAnsi="Sylfaen"/>
          <w:lang w:val="ka-GE"/>
        </w:rPr>
        <w:t>ლარი +</w:t>
      </w:r>
      <w:r w:rsidR="00986FD5" w:rsidRPr="005B6471">
        <w:rPr>
          <w:rFonts w:ascii="Sylfaen" w:hAnsi="Sylfaen"/>
          <w:lang w:val="ka-GE"/>
        </w:rPr>
        <w:t>725 653</w:t>
      </w:r>
      <w:r w:rsidR="00986FD5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lang w:val="ka-GE"/>
        </w:rPr>
        <w:t xml:space="preserve">ლარი - </w:t>
      </w:r>
      <w:r w:rsidR="00986FD5">
        <w:rPr>
          <w:rFonts w:ascii="Sylfaen" w:hAnsi="Sylfaen"/>
          <w:lang w:val="ka-GE"/>
        </w:rPr>
        <w:t xml:space="preserve">გულ-სისხლძარღვთა მიმართულება </w:t>
      </w:r>
    </w:p>
    <w:p w14:paraId="4DA01711" w14:textId="791A9803" w:rsidR="0030446E" w:rsidRPr="005B6471" w:rsidRDefault="0030446E" w:rsidP="0030446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B6471">
        <w:rPr>
          <w:rFonts w:ascii="Sylfaen" w:hAnsi="Sylfaen"/>
          <w:lang w:val="ka-GE"/>
        </w:rPr>
        <w:t xml:space="preserve">1 015 039.5 ლარი - </w:t>
      </w:r>
      <w:r w:rsidR="00986FD5">
        <w:rPr>
          <w:rFonts w:ascii="Sylfaen" w:hAnsi="Sylfaen"/>
          <w:lang w:val="ka-GE"/>
        </w:rPr>
        <w:t>ნევროლოგიური მიმართულება</w:t>
      </w:r>
    </w:p>
    <w:p w14:paraId="0AA2768D" w14:textId="77777777" w:rsidR="00986FD5" w:rsidRDefault="00986FD5" w:rsidP="0030446E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14:paraId="084807AB" w14:textId="1034EFF8" w:rsidR="0030446E" w:rsidRPr="005B6471" w:rsidRDefault="0030446E" w:rsidP="00A104C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5B6471">
        <w:rPr>
          <w:rFonts w:ascii="Sylfaen" w:hAnsi="Sylfaen"/>
          <w:b/>
          <w:i/>
          <w:lang w:val="ka-GE"/>
        </w:rPr>
        <w:t xml:space="preserve">ჯამურად: </w:t>
      </w:r>
      <w:r w:rsidR="00A104C1" w:rsidRPr="00A104C1">
        <w:rPr>
          <w:rFonts w:ascii="Sylfaen" w:hAnsi="Sylfaen"/>
          <w:b/>
          <w:i/>
          <w:lang w:val="ka-GE"/>
        </w:rPr>
        <w:t>8 879 378</w:t>
      </w:r>
      <w:r w:rsidR="00A104C1">
        <w:rPr>
          <w:rFonts w:ascii="Sylfaen" w:hAnsi="Sylfaen"/>
          <w:lang w:val="ka-GE"/>
        </w:rPr>
        <w:t xml:space="preserve"> </w:t>
      </w:r>
      <w:r w:rsidRPr="005B6471">
        <w:rPr>
          <w:rFonts w:ascii="Sylfaen" w:hAnsi="Sylfaen"/>
          <w:b/>
          <w:i/>
          <w:lang w:val="ka-GE"/>
        </w:rPr>
        <w:t>ლარი</w:t>
      </w:r>
      <w:r w:rsidR="00A104C1">
        <w:rPr>
          <w:rFonts w:ascii="Sylfaen" w:hAnsi="Sylfaen"/>
          <w:b/>
          <w:i/>
          <w:lang w:val="ka-GE"/>
        </w:rPr>
        <w:t xml:space="preserve"> (=</w:t>
      </w:r>
      <w:r w:rsidR="00A104C1" w:rsidRPr="00A104C1">
        <w:rPr>
          <w:rFonts w:ascii="Sylfaen" w:hAnsi="Sylfaen"/>
          <w:b/>
          <w:i/>
          <w:lang w:val="ka-GE"/>
        </w:rPr>
        <w:t>6 577 346</w:t>
      </w:r>
      <w:r w:rsidR="00A104C1" w:rsidRPr="00A104C1">
        <w:rPr>
          <w:rFonts w:ascii="Sylfaen" w:hAnsi="Sylfaen"/>
          <w:b/>
          <w:i/>
          <w:lang w:val="ka-GE"/>
        </w:rPr>
        <w:t>+</w:t>
      </w:r>
      <w:r w:rsidR="00A104C1" w:rsidRPr="005B6471">
        <w:rPr>
          <w:rFonts w:ascii="Sylfaen" w:hAnsi="Sylfaen"/>
          <w:b/>
          <w:i/>
          <w:lang w:val="ka-GE"/>
        </w:rPr>
        <w:t>2 302 032</w:t>
      </w:r>
      <w:r w:rsidR="00A104C1">
        <w:rPr>
          <w:rFonts w:ascii="Sylfaen" w:hAnsi="Sylfaen"/>
          <w:b/>
          <w:i/>
          <w:lang w:val="ka-GE"/>
        </w:rPr>
        <w:t>)</w:t>
      </w:r>
      <w:bookmarkStart w:id="0" w:name="_GoBack"/>
      <w:bookmarkEnd w:id="0"/>
    </w:p>
    <w:p w14:paraId="7D10A9FC" w14:textId="7FDCE355" w:rsidR="00E3315E" w:rsidRDefault="00E3315E" w:rsidP="00986FD5">
      <w:pPr>
        <w:jc w:val="both"/>
        <w:rPr>
          <w:rFonts w:ascii="Sylfaen" w:hAnsi="Sylfaen"/>
          <w:b/>
          <w:lang w:val="ka-GE"/>
        </w:rPr>
      </w:pPr>
    </w:p>
    <w:p w14:paraId="0D7ABC77" w14:textId="6453C746" w:rsidR="00986FD5" w:rsidRDefault="00E3315E" w:rsidP="00986FD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ზემოაღნიშნულის გათვალისწინებით, შესასყიდი მედიკამენტების რაოდენობები განისაზღვროს შემდეგი ცხრილების შესაბამისად:</w:t>
      </w:r>
    </w:p>
    <w:p w14:paraId="26FE67F2" w14:textId="26249423" w:rsidR="00986FD5" w:rsidRPr="00773448" w:rsidRDefault="00986FD5" w:rsidP="00986FD5">
      <w:pPr>
        <w:jc w:val="both"/>
        <w:rPr>
          <w:rFonts w:ascii="Sylfaen" w:hAnsi="Sylfaen" w:cs="Sylfaen"/>
          <w:lang w:val="ka-GE"/>
        </w:rPr>
      </w:pPr>
      <w:r w:rsidRPr="00773448">
        <w:rPr>
          <w:rFonts w:ascii="Sylfaen" w:hAnsi="Sylfaen"/>
          <w:b/>
          <w:lang w:val="ka-GE"/>
        </w:rPr>
        <w:t>გულ-სისხლძარღვთა მიმართულებ</w:t>
      </w:r>
      <w:r w:rsidR="00E3315E">
        <w:rPr>
          <w:rFonts w:ascii="Sylfaen" w:hAnsi="Sylfaen"/>
          <w:b/>
          <w:lang w:val="ka-GE"/>
        </w:rPr>
        <w:t>ა</w:t>
      </w:r>
    </w:p>
    <w:tbl>
      <w:tblPr>
        <w:tblpPr w:leftFromText="180" w:rightFromText="180" w:vertAnchor="text" w:horzAnchor="margin" w:tblpXSpec="center" w:tblpY="416"/>
        <w:tblW w:w="11165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1984"/>
        <w:gridCol w:w="1418"/>
        <w:gridCol w:w="1559"/>
        <w:gridCol w:w="1134"/>
      </w:tblGrid>
      <w:tr w:rsidR="00986FD5" w:rsidRPr="0006732B" w14:paraId="50C5E475" w14:textId="77777777" w:rsidTr="00F30E22">
        <w:trPr>
          <w:trHeight w:val="3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D55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კლასი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6A17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ჯენერიული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EA11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დოზა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A75BA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საშუალო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წლიური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თეორიული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რეალიზაცია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ტაბლეტი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B76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ჩანაცვლების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პროცენტი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DE01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საშუალო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წლიური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თეორიული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რეალიზაცია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ტაბლეტში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ჩანაცლების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პროცენტის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გათვალისწინებით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B8C9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საშუალო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წლიური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თეორიული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რეალიზაცია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ტაბლეტში</w:t>
            </w: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14:paraId="02F6CA92" w14:textId="08768DE1" w:rsidR="00986FD5" w:rsidRPr="0006732B" w:rsidRDefault="00E3315E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45</w:t>
            </w:r>
            <w:r w:rsidR="00986FD5" w:rsidRPr="0006732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% </w:t>
            </w:r>
          </w:p>
        </w:tc>
      </w:tr>
      <w:tr w:rsidR="00986FD5" w:rsidRPr="0006732B" w14:paraId="1CDC4796" w14:textId="77777777" w:rsidTr="00F30E2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6CB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აგფ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5D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Perindopril/Amlodipine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39B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4mg/5mg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5mg/5mg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7E8F8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3 203 802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4F01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       60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BC32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1 922 281,20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0940C" w14:textId="3A5DF0B1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865 027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3C9D6E83" w14:textId="77777777" w:rsidTr="00F30E2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3F3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C6E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Perindopril/Amlodipine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8EC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8mg/10mg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10mg/10mg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CDB03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3 977 280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ABB2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       60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BE3A7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2 386 368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92E99" w14:textId="4A92218F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1 073 867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44A449CC" w14:textId="77777777" w:rsidTr="00E3315E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3A3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აგფ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726E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Perindopril/Indapamide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682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4mg/1.25mg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7D2E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  5 197 905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B3389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       60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0934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3 118 743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EE215" w14:textId="48EBA964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1 403 434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644F8A4E" w14:textId="77777777" w:rsidTr="00E3315E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EED9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აგფ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ინჰიბიტორები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F93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Losartan/Hydrochlorothiazide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DE1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50mg/12.5mg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0C26A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  8 006 267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0F88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       60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8FF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4 803 760,26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AA64" w14:textId="336DD19C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2 161 692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2D4EAEDF" w14:textId="77777777" w:rsidTr="00E3315E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338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lastRenderedPageBreak/>
              <w:t>ბეტა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ბლოკერები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3FDE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Bisoprolol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D6E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338A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27 523 788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0F1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F7E0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16 147 073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8F728" w14:textId="60E37B8B" w:rsidR="00986FD5" w:rsidRPr="0006732B" w:rsidRDefault="00E3315E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7 266 183</w:t>
            </w:r>
            <w:r w:rsidR="00986FD5"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63020AF9" w14:textId="77777777" w:rsidTr="00F30E2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5B9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ბეტა</w:t>
            </w: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ბლოკერები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356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Nebivolol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ED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98AE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  6 801 260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0129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1536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4 410 593,40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7BFA" w14:textId="17C4D060" w:rsidR="00986FD5" w:rsidRPr="0006732B" w:rsidRDefault="00E3315E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1 984 767</w:t>
            </w:r>
            <w:r w:rsidR="00986FD5"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86FD5" w:rsidRPr="0006732B" w14:paraId="20285197" w14:textId="77777777" w:rsidTr="00F30E2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489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დიურეტიკები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830F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Hydrochlorothiazide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084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25mg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0F63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 21 503 430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5377C" w14:textId="77777777" w:rsidR="00986FD5" w:rsidRPr="0006732B" w:rsidRDefault="00986FD5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       30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66D1" w14:textId="77777777" w:rsidR="00986FD5" w:rsidRPr="0006732B" w:rsidRDefault="00986FD5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     6 451 029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B2071" w14:textId="3739D2A3" w:rsidR="00986FD5" w:rsidRPr="0006732B" w:rsidRDefault="00E3315E" w:rsidP="00F30E2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2 902 963</w:t>
            </w:r>
            <w:r w:rsidR="00986FD5" w:rsidRPr="0006732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54616D5" w14:textId="13CE3001" w:rsidR="0036176A" w:rsidRDefault="0036176A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814658F" w14:textId="71891EED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34744D3B" w14:textId="6CC38FE5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5743EA0" w14:textId="77935278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9CFB755" w14:textId="60B92DE4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tbl>
      <w:tblPr>
        <w:tblpPr w:leftFromText="180" w:rightFromText="180" w:vertAnchor="text" w:horzAnchor="margin" w:tblpXSpec="center" w:tblpY="63"/>
        <w:tblW w:w="11472" w:type="dxa"/>
        <w:tblLayout w:type="fixed"/>
        <w:tblLook w:val="04A0" w:firstRow="1" w:lastRow="0" w:firstColumn="1" w:lastColumn="0" w:noHBand="0" w:noVBand="1"/>
      </w:tblPr>
      <w:tblGrid>
        <w:gridCol w:w="2729"/>
        <w:gridCol w:w="2529"/>
        <w:gridCol w:w="1297"/>
        <w:gridCol w:w="1605"/>
        <w:gridCol w:w="1674"/>
        <w:gridCol w:w="1638"/>
      </w:tblGrid>
      <w:tr w:rsidR="00E3315E" w:rsidRPr="00773448" w14:paraId="0957F7DA" w14:textId="77777777" w:rsidTr="00E3315E">
        <w:trPr>
          <w:trHeight w:val="1275"/>
        </w:trPr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133" w14:textId="7777777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კლასი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78A" w14:textId="7777777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საერთაშორისო არაპატენტირებული დასახელება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E632" w14:textId="7777777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დოზა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D691" w14:textId="7777777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განზომილების ერთეული 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760AE" w14:textId="7777777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საშუალო წლიური რეალიზაციის მაჩვენებელი (ტაბლეტი)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AB2F" w14:textId="6F55BE17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E3315E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რეალიზაციის 45% (ტაბლეტი)</w:t>
            </w:r>
          </w:p>
        </w:tc>
      </w:tr>
      <w:tr w:rsidR="00E3315E" w:rsidRPr="00773448" w14:paraId="27BD9565" w14:textId="77777777" w:rsidTr="00E3315E">
        <w:trPr>
          <w:trHeight w:val="825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2E81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hAnsi="Sylfaen" w:cs="Sylfaen"/>
                <w:color w:val="000000"/>
                <w:shd w:val="clear" w:color="auto" w:fill="FFFFFF"/>
              </w:rPr>
              <w:t>სისხლის</w:t>
            </w:r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773448">
              <w:rPr>
                <w:rFonts w:ascii="Sylfaen" w:hAnsi="Sylfaen" w:cs="Sylfaen"/>
                <w:color w:val="000000"/>
                <w:shd w:val="clear" w:color="auto" w:fill="FFFFFF"/>
              </w:rPr>
              <w:t>შედედების</w:t>
            </w:r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773448">
              <w:rPr>
                <w:rFonts w:ascii="Sylfaen" w:hAnsi="Sylfaen" w:cs="Sylfaen"/>
                <w:color w:val="000000"/>
                <w:shd w:val="clear" w:color="auto" w:fill="FFFFFF"/>
              </w:rPr>
              <w:t>სისტემაზე</w:t>
            </w:r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773448">
              <w:rPr>
                <w:rFonts w:ascii="Sylfaen" w:hAnsi="Sylfaen" w:cs="Sylfaen"/>
                <w:color w:val="000000"/>
                <w:shd w:val="clear" w:color="auto" w:fill="FFFFFF"/>
              </w:rPr>
              <w:t>მოქმედი</w:t>
            </w:r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773448">
              <w:rPr>
                <w:rFonts w:ascii="Sylfaen" w:hAnsi="Sylfaen" w:cs="Sylfaen"/>
                <w:color w:val="000000"/>
                <w:shd w:val="clear" w:color="auto" w:fill="FFFFFF"/>
              </w:rPr>
              <w:t>საშუალებები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934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>acetylsalicylic acid, magnesium hydroxide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AE86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>75</w:t>
            </w:r>
            <w:r w:rsidRPr="00773448">
              <w:rPr>
                <w:rFonts w:ascii="Sylfaen" w:eastAsia="Times New Roman" w:hAnsi="Sylfaen" w:cs="Calibri"/>
              </w:rPr>
              <w:t>mg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454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</w:rPr>
              <w:t>ტაბლეტი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358B4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  <w:p w14:paraId="311EB13B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>46 703 500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1F4FC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71A02523" w14:textId="5CBCCD30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21 016 575</w:t>
            </w:r>
          </w:p>
        </w:tc>
      </w:tr>
      <w:tr w:rsidR="00E3315E" w:rsidRPr="00773448" w14:paraId="7B3E67C5" w14:textId="77777777" w:rsidTr="00E3315E">
        <w:trPr>
          <w:trHeight w:val="825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1571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hd w:val="clear" w:color="auto" w:fill="FFFFFF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A0B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hAnsi="Sylfae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7878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</w:rPr>
              <w:t>150mg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396F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F26C0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66DE5BE7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>10 563 700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AA0B" w14:textId="77777777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5F20753C" w14:textId="1B2E0BAB" w:rsidR="00E3315E" w:rsidRPr="00E3315E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4 753 665</w:t>
            </w:r>
          </w:p>
        </w:tc>
      </w:tr>
    </w:tbl>
    <w:p w14:paraId="3B2260E4" w14:textId="77777777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9500503" w14:textId="4FECF4B8" w:rsidR="00986FD5" w:rsidRDefault="00986FD5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0750F09" w14:textId="35CE9E18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293BFAE" w14:textId="092D6290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D2AD474" w14:textId="5F252B13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FF255F0" w14:textId="7ED7B073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33992AEF" w14:textId="1610CFBE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DFE795A" w14:textId="4682368E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0C73BCA8" w14:textId="4F192F0E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42F0481" w14:textId="0356156C" w:rsidR="00E3315E" w:rsidRDefault="00E3315E">
      <w:pPr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br w:type="page"/>
      </w:r>
    </w:p>
    <w:p w14:paraId="2D6A89F0" w14:textId="560D666A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773448">
        <w:rPr>
          <w:rFonts w:ascii="Sylfaen" w:hAnsi="Sylfaen"/>
          <w:b/>
          <w:lang w:val="ka-GE"/>
        </w:rPr>
        <w:lastRenderedPageBreak/>
        <w:t>პარკინსონის სამკურნალო მედიკამენტებ</w:t>
      </w:r>
      <w:r>
        <w:rPr>
          <w:rFonts w:ascii="Sylfaen" w:hAnsi="Sylfaen"/>
          <w:b/>
          <w:lang w:val="ka-GE"/>
        </w:rPr>
        <w:t>ი</w:t>
      </w:r>
    </w:p>
    <w:tbl>
      <w:tblPr>
        <w:tblW w:w="10614" w:type="dxa"/>
        <w:tblInd w:w="-384" w:type="dxa"/>
        <w:tblLook w:val="04A0" w:firstRow="1" w:lastRow="0" w:firstColumn="1" w:lastColumn="0" w:noHBand="0" w:noVBand="1"/>
      </w:tblPr>
      <w:tblGrid>
        <w:gridCol w:w="1999"/>
        <w:gridCol w:w="2529"/>
        <w:gridCol w:w="1405"/>
        <w:gridCol w:w="1742"/>
        <w:gridCol w:w="1481"/>
        <w:gridCol w:w="1458"/>
      </w:tblGrid>
      <w:tr w:rsidR="00E3315E" w:rsidRPr="00773448" w14:paraId="52F7C899" w14:textId="77777777" w:rsidTr="00F30E22">
        <w:trPr>
          <w:trHeight w:val="82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94F4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 w:cs="Sylfaen"/>
                <w:color w:val="606366"/>
              </w:rPr>
            </w:pPr>
            <w:r w:rsidRPr="00773448">
              <w:rPr>
                <w:rFonts w:ascii="Sylfaen" w:hAnsi="Sylfaen" w:cs="Sylfaen"/>
                <w:color w:val="606366"/>
              </w:rPr>
              <w:t>კლასი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2603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/>
                <w:color w:val="34383D"/>
              </w:rPr>
            </w:pPr>
            <w:r w:rsidRPr="00773448">
              <w:rPr>
                <w:rFonts w:ascii="Sylfaen" w:hAnsi="Sylfaen" w:cs="Sylfaen"/>
                <w:color w:val="34383D"/>
              </w:rPr>
              <w:t>საერთაშორისო</w:t>
            </w:r>
            <w:r w:rsidRPr="00773448">
              <w:rPr>
                <w:rFonts w:ascii="Sylfaen" w:hAnsi="Sylfaen"/>
                <w:color w:val="34383D"/>
              </w:rPr>
              <w:t xml:space="preserve"> </w:t>
            </w:r>
            <w:r w:rsidRPr="00773448">
              <w:rPr>
                <w:rFonts w:ascii="Sylfaen" w:hAnsi="Sylfaen" w:cs="Sylfaen"/>
                <w:color w:val="34383D"/>
              </w:rPr>
              <w:t>არაპატენტირებული</w:t>
            </w:r>
            <w:r w:rsidRPr="00773448">
              <w:rPr>
                <w:rFonts w:ascii="Sylfaen" w:hAnsi="Sylfaen"/>
                <w:color w:val="34383D"/>
              </w:rPr>
              <w:t xml:space="preserve"> </w:t>
            </w:r>
            <w:r w:rsidRPr="00773448">
              <w:rPr>
                <w:rFonts w:ascii="Sylfaen" w:hAnsi="Sylfaen" w:cs="Sylfaen"/>
                <w:color w:val="34383D"/>
              </w:rPr>
              <w:t>დასახელება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24F9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/>
                <w:color w:val="34383D"/>
              </w:rPr>
            </w:pPr>
            <w:r w:rsidRPr="00773448">
              <w:rPr>
                <w:rFonts w:ascii="Sylfaen" w:hAnsi="Sylfaen" w:cs="Sylfaen"/>
                <w:color w:val="34383D"/>
              </w:rPr>
              <w:t>დოზა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1CCE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</w:rPr>
              <w:t xml:space="preserve">განზომილების ერთეული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7D516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</w:rPr>
              <w:t xml:space="preserve">საშუალო წლიური </w:t>
            </w:r>
            <w:r w:rsidRPr="00773448">
              <w:rPr>
                <w:rFonts w:ascii="Sylfaen" w:eastAsia="Times New Roman" w:hAnsi="Sylfaen" w:cs="Calibri"/>
                <w:lang w:val="ka-GE"/>
              </w:rPr>
              <w:t>საჭიროება</w:t>
            </w:r>
            <w:r w:rsidRPr="00773448">
              <w:rPr>
                <w:rFonts w:ascii="Sylfaen" w:eastAsia="Times New Roman" w:hAnsi="Sylfaen" w:cs="Calibri"/>
              </w:rPr>
              <w:t xml:space="preserve"> (ტაბლეტი)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AD6C" w14:textId="180B929F" w:rsidR="00E3315E" w:rsidRPr="00773448" w:rsidRDefault="00E3315E" w:rsidP="00E3315E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 xml:space="preserve">წლიური საჭიროების </w:t>
            </w:r>
            <w:r>
              <w:rPr>
                <w:rFonts w:ascii="Sylfaen" w:eastAsia="Times New Roman" w:hAnsi="Sylfaen" w:cs="Calibri"/>
                <w:lang w:val="ka-GE"/>
              </w:rPr>
              <w:t>45</w:t>
            </w:r>
            <w:r w:rsidRPr="00773448">
              <w:rPr>
                <w:rFonts w:ascii="Sylfaen" w:eastAsia="Times New Roman" w:hAnsi="Sylfaen" w:cs="Calibri"/>
              </w:rPr>
              <w:t>% (ტაბლეტი)</w:t>
            </w:r>
          </w:p>
        </w:tc>
      </w:tr>
      <w:tr w:rsidR="00E3315E" w:rsidRPr="00773448" w14:paraId="38631A73" w14:textId="77777777" w:rsidTr="00F30E22">
        <w:trPr>
          <w:trHeight w:val="82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708C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r w:rsidRPr="00773448">
              <w:rPr>
                <w:rFonts w:ascii="Sylfaen" w:hAnsi="Sylfaen" w:cs="Sylfaen"/>
                <w:color w:val="606366"/>
              </w:rPr>
              <w:t>პარკინსონის</w:t>
            </w:r>
            <w:r w:rsidRPr="00773448">
              <w:rPr>
                <w:rFonts w:ascii="Sylfaen" w:hAnsi="Sylfaen"/>
                <w:color w:val="606366"/>
              </w:rPr>
              <w:t xml:space="preserve"> </w:t>
            </w:r>
            <w:r w:rsidRPr="00773448">
              <w:rPr>
                <w:rFonts w:ascii="Sylfaen" w:hAnsi="Sylfaen" w:cs="Sylfaen"/>
                <w:color w:val="606366"/>
              </w:rPr>
              <w:t>საწინააღმდეგო</w:t>
            </w:r>
            <w:r w:rsidRPr="00773448">
              <w:rPr>
                <w:rFonts w:ascii="Sylfaen" w:hAnsi="Sylfaen"/>
                <w:color w:val="606366"/>
              </w:rPr>
              <w:t xml:space="preserve"> </w:t>
            </w:r>
            <w:r w:rsidRPr="00773448">
              <w:rPr>
                <w:rFonts w:ascii="Sylfaen" w:hAnsi="Sylfaen" w:cs="Sylfaen"/>
                <w:color w:val="606366"/>
              </w:rPr>
              <w:t>საშუალებები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1F8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/>
                <w:color w:val="000000"/>
                <w:shd w:val="clear" w:color="auto" w:fill="FFFFFF"/>
              </w:rPr>
            </w:pPr>
            <w:r w:rsidRPr="00773448">
              <w:rPr>
                <w:rFonts w:ascii="Sylfaen" w:hAnsi="Sylfaen"/>
                <w:color w:val="34383D"/>
              </w:rPr>
              <w:t> </w:t>
            </w:r>
            <w:hyperlink r:id="rId5" w:history="1">
              <w:r w:rsidRPr="00773448">
                <w:rPr>
                  <w:rFonts w:ascii="Sylfaen" w:hAnsi="Sylfaen"/>
                  <w:color w:val="000000"/>
                  <w:shd w:val="clear" w:color="auto" w:fill="FFFFFF"/>
                </w:rPr>
                <w:t>carbidopa</w:t>
              </w:r>
            </w:hyperlink>
            <w:r w:rsidRPr="00773448">
              <w:rPr>
                <w:rFonts w:ascii="Sylfaen" w:hAnsi="Sylfaen"/>
                <w:color w:val="000000"/>
                <w:shd w:val="clear" w:color="auto" w:fill="FFFFFF"/>
              </w:rPr>
              <w:t>, </w:t>
            </w:r>
            <w:hyperlink r:id="rId6" w:history="1">
              <w:r w:rsidRPr="00773448">
                <w:rPr>
                  <w:rFonts w:ascii="Sylfaen" w:hAnsi="Sylfaen"/>
                  <w:color w:val="000000"/>
                  <w:shd w:val="clear" w:color="auto" w:fill="FFFFFF"/>
                </w:rPr>
                <w:t>levodopa</w:t>
              </w:r>
            </w:hyperlink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F907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hAnsi="Sylfaen"/>
                <w:color w:val="34383D"/>
              </w:rPr>
              <w:t>250mg/25mg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BC0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773448">
              <w:rPr>
                <w:rFonts w:ascii="Sylfaen" w:eastAsia="Times New Roman" w:hAnsi="Sylfaen" w:cs="Calibri"/>
              </w:rPr>
              <w:t>ტაბლეტი</w:t>
            </w:r>
          </w:p>
          <w:p w14:paraId="0AF7587C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A3775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78FE55FF" w14:textId="77777777" w:rsidR="00E3315E" w:rsidRPr="00773448" w:rsidRDefault="00E3315E" w:rsidP="00F30E22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 xml:space="preserve">      1 168 000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1750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462945AF" w14:textId="1231CF63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525 600</w:t>
            </w:r>
          </w:p>
        </w:tc>
      </w:tr>
      <w:tr w:rsidR="00E3315E" w:rsidRPr="00773448" w14:paraId="6D02D134" w14:textId="77777777" w:rsidTr="00F30E22">
        <w:trPr>
          <w:trHeight w:val="82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7961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 w:cs="Sylfaen"/>
                <w:color w:val="606366"/>
                <w:lang w:val="ka-G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62A4" w14:textId="77777777" w:rsidR="00E3315E" w:rsidRPr="00773448" w:rsidRDefault="00A104C1" w:rsidP="00F30E22">
            <w:pPr>
              <w:spacing w:after="0" w:line="240" w:lineRule="auto"/>
              <w:jc w:val="center"/>
              <w:rPr>
                <w:rFonts w:ascii="Sylfaen" w:hAnsi="Sylfaen"/>
                <w:color w:val="34383D"/>
              </w:rPr>
            </w:pPr>
            <w:hyperlink r:id="rId7" w:tgtFrame="_blank" w:history="1">
              <w:r w:rsidR="00E3315E" w:rsidRPr="00773448">
                <w:rPr>
                  <w:rFonts w:ascii="Sylfaen" w:hAnsi="Sylfaen"/>
                  <w:color w:val="000000"/>
                </w:rPr>
                <w:t>Benserazide+Levodopa</w:t>
              </w:r>
            </w:hyperlink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16B4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hAnsi="Sylfaen"/>
                <w:color w:val="34383D"/>
              </w:rPr>
            </w:pPr>
            <w:r w:rsidRPr="00773448">
              <w:rPr>
                <w:rFonts w:ascii="Sylfaen" w:hAnsi="Sylfaen"/>
                <w:color w:val="34383D"/>
                <w:lang w:val="ka-GE"/>
              </w:rPr>
              <w:t>125</w:t>
            </w:r>
            <w:r w:rsidRPr="00773448">
              <w:rPr>
                <w:rFonts w:ascii="Sylfaen" w:hAnsi="Sylfaen"/>
                <w:color w:val="34383D"/>
              </w:rPr>
              <w:t>mg/25mg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B29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DC094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  <w:p w14:paraId="2C61E20E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 w:rsidRPr="00773448">
              <w:rPr>
                <w:rFonts w:ascii="Sylfaen" w:eastAsia="Times New Roman" w:hAnsi="Sylfaen" w:cs="Calibri"/>
                <w:lang w:val="ka-GE"/>
              </w:rPr>
              <w:t>584 000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A0954" w14:textId="77777777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  <w:p w14:paraId="61B4B7FA" w14:textId="2D96E9D0" w:rsidR="00E3315E" w:rsidRPr="00773448" w:rsidRDefault="00E3315E" w:rsidP="00F30E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262800</w:t>
            </w:r>
          </w:p>
        </w:tc>
      </w:tr>
    </w:tbl>
    <w:p w14:paraId="3F305805" w14:textId="73ABA8F1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B7D1499" w14:textId="3045F26F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773448">
        <w:rPr>
          <w:rFonts w:ascii="Sylfaen" w:hAnsi="Sylfaen"/>
          <w:b/>
          <w:lang w:val="ka-GE"/>
        </w:rPr>
        <w:t xml:space="preserve">ეპილეფსიის სამკურნალო </w:t>
      </w:r>
      <w:r>
        <w:rPr>
          <w:rFonts w:ascii="Sylfaen" w:hAnsi="Sylfaen"/>
          <w:b/>
          <w:lang w:val="ka-GE"/>
        </w:rPr>
        <w:t>მედიკამენტები</w:t>
      </w:r>
    </w:p>
    <w:p w14:paraId="1AFEB531" w14:textId="3879D5B8" w:rsidR="00E3315E" w:rsidRDefault="00E3315E" w:rsidP="0030446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34"/>
        <w:gridCol w:w="1188"/>
        <w:gridCol w:w="1306"/>
        <w:gridCol w:w="1624"/>
        <w:gridCol w:w="1493"/>
        <w:gridCol w:w="1379"/>
        <w:gridCol w:w="1418"/>
      </w:tblGrid>
      <w:tr w:rsidR="00E3315E" w:rsidRPr="00773448" w14:paraId="04629EFE" w14:textId="77777777" w:rsidTr="00F30E22">
        <w:tc>
          <w:tcPr>
            <w:tcW w:w="1498" w:type="dxa"/>
          </w:tcPr>
          <w:p w14:paraId="2BE779D8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მედიკამენტი</w:t>
            </w:r>
          </w:p>
        </w:tc>
        <w:tc>
          <w:tcPr>
            <w:tcW w:w="1182" w:type="dxa"/>
          </w:tcPr>
          <w:p w14:paraId="6A3A2A88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ფორმა</w:t>
            </w:r>
          </w:p>
        </w:tc>
        <w:tc>
          <w:tcPr>
            <w:tcW w:w="1201" w:type="dxa"/>
          </w:tcPr>
          <w:p w14:paraId="547EA628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დოზირება</w:t>
            </w:r>
          </w:p>
        </w:tc>
        <w:tc>
          <w:tcPr>
            <w:tcW w:w="1616" w:type="dxa"/>
          </w:tcPr>
          <w:p w14:paraId="19B924F3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საშუალო დოზა დღეში პაციენტზე</w:t>
            </w:r>
          </w:p>
        </w:tc>
        <w:tc>
          <w:tcPr>
            <w:tcW w:w="1267" w:type="dxa"/>
          </w:tcPr>
          <w:p w14:paraId="6ECB3EA3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პაციენტების რაოდენობა</w:t>
            </w:r>
          </w:p>
        </w:tc>
        <w:tc>
          <w:tcPr>
            <w:tcW w:w="1710" w:type="dxa"/>
          </w:tcPr>
          <w:p w14:paraId="062EF48C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lang w:val="ka-GE"/>
              </w:rPr>
              <w:t>წლიური რაოდენობა პაციენტზე (აბი)</w:t>
            </w:r>
          </w:p>
        </w:tc>
        <w:tc>
          <w:tcPr>
            <w:tcW w:w="1444" w:type="dxa"/>
          </w:tcPr>
          <w:p w14:paraId="52683FC1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rPr>
                <w:rFonts w:eastAsia="Times New Roman" w:cs="Calibri"/>
              </w:rPr>
              <w:t>წლიური საჭიროების 30%</w:t>
            </w:r>
            <w:r w:rsidRPr="00773448">
              <w:rPr>
                <w:rFonts w:eastAsia="Times New Roman" w:cs="Calibri"/>
                <w:lang w:val="ka-GE"/>
              </w:rPr>
              <w:t xml:space="preserve"> (აბი)</w:t>
            </w:r>
          </w:p>
        </w:tc>
      </w:tr>
      <w:tr w:rsidR="00E3315E" w:rsidRPr="00773448" w14:paraId="04148D11" w14:textId="77777777" w:rsidTr="00F30E22">
        <w:tc>
          <w:tcPr>
            <w:tcW w:w="1498" w:type="dxa"/>
          </w:tcPr>
          <w:p w14:paraId="567A1B83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Levetiracetam</w:t>
            </w:r>
          </w:p>
        </w:tc>
        <w:tc>
          <w:tcPr>
            <w:tcW w:w="1182" w:type="dxa"/>
          </w:tcPr>
          <w:p w14:paraId="257E54FF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</w:tcPr>
          <w:p w14:paraId="7A8F7D65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500მგ</w:t>
            </w:r>
          </w:p>
        </w:tc>
        <w:tc>
          <w:tcPr>
            <w:tcW w:w="1616" w:type="dxa"/>
          </w:tcPr>
          <w:p w14:paraId="6DCA85D2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t>1</w:t>
            </w:r>
            <w:r w:rsidRPr="00773448">
              <w:rPr>
                <w:lang w:val="ka-GE"/>
              </w:rPr>
              <w:t>000მგ/დღეში</w:t>
            </w:r>
          </w:p>
        </w:tc>
        <w:tc>
          <w:tcPr>
            <w:tcW w:w="1267" w:type="dxa"/>
          </w:tcPr>
          <w:p w14:paraId="0D7CCC7E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5840</w:t>
            </w:r>
          </w:p>
        </w:tc>
        <w:tc>
          <w:tcPr>
            <w:tcW w:w="1710" w:type="dxa"/>
          </w:tcPr>
          <w:p w14:paraId="07BDB35A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4 263 200</w:t>
            </w:r>
          </w:p>
        </w:tc>
        <w:tc>
          <w:tcPr>
            <w:tcW w:w="1444" w:type="dxa"/>
          </w:tcPr>
          <w:p w14:paraId="1396324E" w14:textId="0DE881A2" w:rsidR="00E3315E" w:rsidRPr="00E3315E" w:rsidRDefault="00E3315E" w:rsidP="00E3315E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t xml:space="preserve">1 </w:t>
            </w:r>
            <w:r>
              <w:rPr>
                <w:lang w:val="ka-GE"/>
              </w:rPr>
              <w:t>918 440</w:t>
            </w:r>
          </w:p>
        </w:tc>
      </w:tr>
      <w:tr w:rsidR="00E3315E" w:rsidRPr="00773448" w14:paraId="639ACA76" w14:textId="77777777" w:rsidTr="00F30E22">
        <w:tc>
          <w:tcPr>
            <w:tcW w:w="1498" w:type="dxa"/>
          </w:tcPr>
          <w:p w14:paraId="23747788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Carbamazepine</w:t>
            </w:r>
          </w:p>
        </w:tc>
        <w:tc>
          <w:tcPr>
            <w:tcW w:w="1182" w:type="dxa"/>
          </w:tcPr>
          <w:p w14:paraId="461A5248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</w:tcPr>
          <w:p w14:paraId="7AD35EA2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200მგ</w:t>
            </w:r>
          </w:p>
        </w:tc>
        <w:tc>
          <w:tcPr>
            <w:tcW w:w="1616" w:type="dxa"/>
          </w:tcPr>
          <w:p w14:paraId="19E25BD3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600მგ/დღეში</w:t>
            </w:r>
          </w:p>
        </w:tc>
        <w:tc>
          <w:tcPr>
            <w:tcW w:w="1267" w:type="dxa"/>
          </w:tcPr>
          <w:p w14:paraId="1BE96195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2300</w:t>
            </w:r>
          </w:p>
        </w:tc>
        <w:tc>
          <w:tcPr>
            <w:tcW w:w="1710" w:type="dxa"/>
          </w:tcPr>
          <w:p w14:paraId="63513FE2" w14:textId="77777777" w:rsidR="00E3315E" w:rsidRPr="00773448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 w:rsidRPr="00773448">
              <w:t>2 518 500</w:t>
            </w:r>
          </w:p>
        </w:tc>
        <w:tc>
          <w:tcPr>
            <w:tcW w:w="1444" w:type="dxa"/>
          </w:tcPr>
          <w:p w14:paraId="3F0CA821" w14:textId="3514B613" w:rsidR="00E3315E" w:rsidRPr="00E3315E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1 133 325</w:t>
            </w:r>
          </w:p>
        </w:tc>
      </w:tr>
      <w:tr w:rsidR="00E3315E" w:rsidRPr="00773448" w14:paraId="207CA807" w14:textId="77777777" w:rsidTr="00F30E22">
        <w:tc>
          <w:tcPr>
            <w:tcW w:w="1498" w:type="dxa"/>
          </w:tcPr>
          <w:p w14:paraId="4455EDDA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Valproate Sodium</w:t>
            </w:r>
          </w:p>
        </w:tc>
        <w:tc>
          <w:tcPr>
            <w:tcW w:w="1182" w:type="dxa"/>
          </w:tcPr>
          <w:p w14:paraId="2F92ADFF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</w:tcPr>
          <w:p w14:paraId="2929D566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500მგ</w:t>
            </w:r>
          </w:p>
        </w:tc>
        <w:tc>
          <w:tcPr>
            <w:tcW w:w="1616" w:type="dxa"/>
          </w:tcPr>
          <w:p w14:paraId="44EC61A7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1000მ/დღეში</w:t>
            </w:r>
          </w:p>
        </w:tc>
        <w:tc>
          <w:tcPr>
            <w:tcW w:w="1267" w:type="dxa"/>
          </w:tcPr>
          <w:p w14:paraId="3B6B14F7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3800</w:t>
            </w:r>
          </w:p>
        </w:tc>
        <w:tc>
          <w:tcPr>
            <w:tcW w:w="1710" w:type="dxa"/>
          </w:tcPr>
          <w:p w14:paraId="161024A5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2 774 000</w:t>
            </w:r>
          </w:p>
        </w:tc>
        <w:tc>
          <w:tcPr>
            <w:tcW w:w="1444" w:type="dxa"/>
          </w:tcPr>
          <w:p w14:paraId="045A8A6A" w14:textId="63CA3424" w:rsidR="00E3315E" w:rsidRPr="00E3315E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1 248 300</w:t>
            </w:r>
          </w:p>
        </w:tc>
      </w:tr>
      <w:tr w:rsidR="00E3315E" w:rsidRPr="00773448" w14:paraId="3B4E50DD" w14:textId="77777777" w:rsidTr="00F30E22">
        <w:tc>
          <w:tcPr>
            <w:tcW w:w="1498" w:type="dxa"/>
          </w:tcPr>
          <w:p w14:paraId="6946CBC3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Valproate Sodium</w:t>
            </w:r>
          </w:p>
        </w:tc>
        <w:tc>
          <w:tcPr>
            <w:tcW w:w="1182" w:type="dxa"/>
          </w:tcPr>
          <w:p w14:paraId="5C03F305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</w:tcPr>
          <w:p w14:paraId="1E8EF856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300მგ</w:t>
            </w:r>
          </w:p>
        </w:tc>
        <w:tc>
          <w:tcPr>
            <w:tcW w:w="1616" w:type="dxa"/>
          </w:tcPr>
          <w:p w14:paraId="6DD9B5D5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t>6</w:t>
            </w:r>
            <w:r w:rsidRPr="00773448">
              <w:rPr>
                <w:lang w:val="ka-GE"/>
              </w:rPr>
              <w:t>00მგ/დღეში</w:t>
            </w:r>
          </w:p>
        </w:tc>
        <w:tc>
          <w:tcPr>
            <w:tcW w:w="1267" w:type="dxa"/>
          </w:tcPr>
          <w:p w14:paraId="5421AE3B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800</w:t>
            </w:r>
          </w:p>
        </w:tc>
        <w:tc>
          <w:tcPr>
            <w:tcW w:w="1710" w:type="dxa"/>
          </w:tcPr>
          <w:p w14:paraId="2B25DF08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584 000</w:t>
            </w:r>
          </w:p>
        </w:tc>
        <w:tc>
          <w:tcPr>
            <w:tcW w:w="1444" w:type="dxa"/>
          </w:tcPr>
          <w:p w14:paraId="66EA0853" w14:textId="2516484D" w:rsidR="00E3315E" w:rsidRPr="00E3315E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262 800</w:t>
            </w:r>
          </w:p>
        </w:tc>
      </w:tr>
      <w:tr w:rsidR="00E3315E" w:rsidRPr="00773448" w14:paraId="754BA337" w14:textId="77777777" w:rsidTr="00F30E22">
        <w:tc>
          <w:tcPr>
            <w:tcW w:w="1498" w:type="dxa"/>
            <w:vAlign w:val="center"/>
          </w:tcPr>
          <w:p w14:paraId="4680F9AA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Lamotrigine</w:t>
            </w:r>
          </w:p>
        </w:tc>
        <w:tc>
          <w:tcPr>
            <w:tcW w:w="1182" w:type="dxa"/>
            <w:vAlign w:val="center"/>
          </w:tcPr>
          <w:p w14:paraId="5CF6BE41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  <w:vAlign w:val="center"/>
          </w:tcPr>
          <w:p w14:paraId="00EDB91B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t>100mg</w:t>
            </w:r>
          </w:p>
        </w:tc>
        <w:tc>
          <w:tcPr>
            <w:tcW w:w="1616" w:type="dxa"/>
          </w:tcPr>
          <w:p w14:paraId="3AE2ED18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200მგ/დღეში</w:t>
            </w:r>
          </w:p>
        </w:tc>
        <w:tc>
          <w:tcPr>
            <w:tcW w:w="1267" w:type="dxa"/>
          </w:tcPr>
          <w:p w14:paraId="2EAE729C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1400</w:t>
            </w:r>
          </w:p>
        </w:tc>
        <w:tc>
          <w:tcPr>
            <w:tcW w:w="1710" w:type="dxa"/>
          </w:tcPr>
          <w:p w14:paraId="756F9526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1 022 000</w:t>
            </w:r>
          </w:p>
        </w:tc>
        <w:tc>
          <w:tcPr>
            <w:tcW w:w="1444" w:type="dxa"/>
          </w:tcPr>
          <w:p w14:paraId="54B9C1C6" w14:textId="6CF403F9" w:rsidR="00E3315E" w:rsidRPr="00E3315E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459 900</w:t>
            </w:r>
          </w:p>
        </w:tc>
      </w:tr>
      <w:tr w:rsidR="00E3315E" w:rsidRPr="00773448" w14:paraId="50030003" w14:textId="77777777" w:rsidTr="00F30E22">
        <w:tc>
          <w:tcPr>
            <w:tcW w:w="1498" w:type="dxa"/>
            <w:vAlign w:val="center"/>
          </w:tcPr>
          <w:p w14:paraId="71C17076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Lamotrigine</w:t>
            </w:r>
          </w:p>
        </w:tc>
        <w:tc>
          <w:tcPr>
            <w:tcW w:w="1182" w:type="dxa"/>
            <w:vAlign w:val="center"/>
          </w:tcPr>
          <w:p w14:paraId="250445E5" w14:textId="77777777" w:rsidR="00E3315E" w:rsidRPr="00773448" w:rsidRDefault="00E3315E" w:rsidP="00F30E22">
            <w:pPr>
              <w:spacing w:after="160" w:line="259" w:lineRule="auto"/>
              <w:rPr>
                <w:highlight w:val="yellow"/>
              </w:rPr>
            </w:pPr>
            <w:r w:rsidRPr="00773448">
              <w:rPr>
                <w:lang w:val="ka-GE"/>
              </w:rPr>
              <w:t>ტაბლეტი</w:t>
            </w:r>
          </w:p>
        </w:tc>
        <w:tc>
          <w:tcPr>
            <w:tcW w:w="1201" w:type="dxa"/>
            <w:vAlign w:val="center"/>
          </w:tcPr>
          <w:p w14:paraId="2FFA32BE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t>25mg</w:t>
            </w:r>
          </w:p>
        </w:tc>
        <w:tc>
          <w:tcPr>
            <w:tcW w:w="1616" w:type="dxa"/>
          </w:tcPr>
          <w:p w14:paraId="2C79609E" w14:textId="77777777" w:rsidR="00E3315E" w:rsidRPr="00773448" w:rsidRDefault="00E3315E" w:rsidP="00F30E22">
            <w:pPr>
              <w:spacing w:after="160" w:line="259" w:lineRule="auto"/>
              <w:rPr>
                <w:lang w:val="ka-GE"/>
              </w:rPr>
            </w:pPr>
            <w:r w:rsidRPr="00773448">
              <w:rPr>
                <w:lang w:val="ka-GE"/>
              </w:rPr>
              <w:t>75მგ/დღეში</w:t>
            </w:r>
          </w:p>
        </w:tc>
        <w:tc>
          <w:tcPr>
            <w:tcW w:w="1267" w:type="dxa"/>
          </w:tcPr>
          <w:p w14:paraId="477C4CB6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600</w:t>
            </w:r>
          </w:p>
        </w:tc>
        <w:tc>
          <w:tcPr>
            <w:tcW w:w="1710" w:type="dxa"/>
          </w:tcPr>
          <w:p w14:paraId="0697CE9E" w14:textId="77777777" w:rsidR="00E3315E" w:rsidRPr="00773448" w:rsidRDefault="00E3315E" w:rsidP="00F30E22">
            <w:pPr>
              <w:spacing w:after="160" w:line="259" w:lineRule="auto"/>
              <w:jc w:val="center"/>
            </w:pPr>
            <w:r w:rsidRPr="00773448">
              <w:t>657 000</w:t>
            </w:r>
          </w:p>
        </w:tc>
        <w:tc>
          <w:tcPr>
            <w:tcW w:w="1444" w:type="dxa"/>
          </w:tcPr>
          <w:p w14:paraId="08DE377A" w14:textId="3EA1591D" w:rsidR="00E3315E" w:rsidRPr="00E3315E" w:rsidRDefault="00E3315E" w:rsidP="00F30E22">
            <w:pPr>
              <w:spacing w:after="160" w:line="259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295 650</w:t>
            </w:r>
          </w:p>
        </w:tc>
      </w:tr>
    </w:tbl>
    <w:p w14:paraId="3508C12C" w14:textId="77777777" w:rsidR="00E3315E" w:rsidRPr="00073B8D" w:rsidRDefault="00E3315E" w:rsidP="00E3315E">
      <w:pPr>
        <w:tabs>
          <w:tab w:val="left" w:pos="2460"/>
        </w:tabs>
        <w:spacing w:line="240" w:lineRule="auto"/>
        <w:jc w:val="both"/>
        <w:rPr>
          <w:rFonts w:ascii="Sylfaen" w:hAnsi="Sylfaen"/>
          <w:b/>
          <w:color w:val="FF0000"/>
          <w:lang w:val="ka-GE"/>
        </w:rPr>
      </w:pPr>
    </w:p>
    <w:sectPr w:rsidR="00E3315E" w:rsidRPr="00073B8D" w:rsidSect="00E3315E">
      <w:pgSz w:w="15840" w:h="12240" w:orient="landscape"/>
      <w:pgMar w:top="1440" w:right="144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0A7"/>
    <w:multiLevelType w:val="hybridMultilevel"/>
    <w:tmpl w:val="178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5E7"/>
    <w:multiLevelType w:val="hybridMultilevel"/>
    <w:tmpl w:val="33769E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095EDD"/>
    <w:multiLevelType w:val="hybridMultilevel"/>
    <w:tmpl w:val="22743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5BE"/>
    <w:multiLevelType w:val="hybridMultilevel"/>
    <w:tmpl w:val="8258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F6"/>
    <w:multiLevelType w:val="hybridMultilevel"/>
    <w:tmpl w:val="2FB4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1815"/>
    <w:multiLevelType w:val="hybridMultilevel"/>
    <w:tmpl w:val="144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3E23"/>
    <w:multiLevelType w:val="hybridMultilevel"/>
    <w:tmpl w:val="F642F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2FD3"/>
    <w:multiLevelType w:val="hybridMultilevel"/>
    <w:tmpl w:val="E406685E"/>
    <w:lvl w:ilvl="0" w:tplc="04090001">
      <w:start w:val="1"/>
      <w:numFmt w:val="bullet"/>
      <w:lvlText w:val=""/>
      <w:lvlJc w:val="left"/>
      <w:pPr>
        <w:ind w:left="2460" w:hanging="24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D4618"/>
    <w:multiLevelType w:val="hybridMultilevel"/>
    <w:tmpl w:val="E2A6A27A"/>
    <w:lvl w:ilvl="0" w:tplc="F3FC8ACA">
      <w:numFmt w:val="bullet"/>
      <w:lvlText w:val="•"/>
      <w:lvlJc w:val="left"/>
      <w:pPr>
        <w:ind w:left="2460" w:hanging="24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D1758"/>
    <w:multiLevelType w:val="hybridMultilevel"/>
    <w:tmpl w:val="7530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C68EB"/>
    <w:multiLevelType w:val="hybridMultilevel"/>
    <w:tmpl w:val="0472D284"/>
    <w:lvl w:ilvl="0" w:tplc="D6B2F2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1066"/>
    <w:multiLevelType w:val="hybridMultilevel"/>
    <w:tmpl w:val="7FE8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C5251"/>
    <w:multiLevelType w:val="hybridMultilevel"/>
    <w:tmpl w:val="8698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11C7B"/>
    <w:multiLevelType w:val="hybridMultilevel"/>
    <w:tmpl w:val="8F9E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5D63"/>
    <w:multiLevelType w:val="hybridMultilevel"/>
    <w:tmpl w:val="B6E624E2"/>
    <w:lvl w:ilvl="0" w:tplc="368644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6610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83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127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865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BCBA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B8B1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7C3F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B0E8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AC57AB8"/>
    <w:multiLevelType w:val="hybridMultilevel"/>
    <w:tmpl w:val="7A80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90FE6"/>
    <w:multiLevelType w:val="hybridMultilevel"/>
    <w:tmpl w:val="43A2EC44"/>
    <w:lvl w:ilvl="0" w:tplc="69F8EB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662D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8459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EEA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96BE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30A8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E1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BC62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92EC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BFB5C78"/>
    <w:multiLevelType w:val="hybridMultilevel"/>
    <w:tmpl w:val="4FCCBF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D761755"/>
    <w:multiLevelType w:val="hybridMultilevel"/>
    <w:tmpl w:val="AC9E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5634"/>
    <w:multiLevelType w:val="hybridMultilevel"/>
    <w:tmpl w:val="AF0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7483"/>
    <w:multiLevelType w:val="hybridMultilevel"/>
    <w:tmpl w:val="12DCEC8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CEA6859"/>
    <w:multiLevelType w:val="hybridMultilevel"/>
    <w:tmpl w:val="EBCE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20"/>
  </w:num>
  <w:num w:numId="11">
    <w:abstractNumId w:val="13"/>
  </w:num>
  <w:num w:numId="12">
    <w:abstractNumId w:val="21"/>
  </w:num>
  <w:num w:numId="13">
    <w:abstractNumId w:val="4"/>
  </w:num>
  <w:num w:numId="14">
    <w:abstractNumId w:val="19"/>
  </w:num>
  <w:num w:numId="15">
    <w:abstractNumId w:val="15"/>
  </w:num>
  <w:num w:numId="16">
    <w:abstractNumId w:val="18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EE"/>
    <w:rsid w:val="00073B8D"/>
    <w:rsid w:val="00081AE5"/>
    <w:rsid w:val="001D3843"/>
    <w:rsid w:val="002A482D"/>
    <w:rsid w:val="0030446E"/>
    <w:rsid w:val="0036176A"/>
    <w:rsid w:val="0049547B"/>
    <w:rsid w:val="004C1720"/>
    <w:rsid w:val="004D4EF3"/>
    <w:rsid w:val="00893D2B"/>
    <w:rsid w:val="00986FD5"/>
    <w:rsid w:val="00A104C1"/>
    <w:rsid w:val="00A61F63"/>
    <w:rsid w:val="00AC0EAF"/>
    <w:rsid w:val="00BF3A73"/>
    <w:rsid w:val="00CD50EE"/>
    <w:rsid w:val="00D454DD"/>
    <w:rsid w:val="00DD55B9"/>
    <w:rsid w:val="00E3315E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95E7"/>
  <w15:chartTrackingRefBased/>
  <w15:docId w15:val="{51DA2BB1-11C8-4519-A52E-A64D1808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315E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76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8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19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861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436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90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67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977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704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904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251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160">
          <w:marLeft w:val="108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18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ersi.ge/ka/aversi/act/genDet/?GenID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al.ge/drugs/active-ingredients/levodopa" TargetMode="External"/><Relationship Id="rId5" Type="http://schemas.openxmlformats.org/officeDocument/2006/relationships/hyperlink" Target="http://www.vidal.ge/drugs/active-ingredients/carbido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Ekaterine Adamia</cp:lastModifiedBy>
  <cp:revision>7</cp:revision>
  <dcterms:created xsi:type="dcterms:W3CDTF">2018-10-21T11:55:00Z</dcterms:created>
  <dcterms:modified xsi:type="dcterms:W3CDTF">2018-10-25T11:22:00Z</dcterms:modified>
</cp:coreProperties>
</file>